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8F662">
      <w:pPr>
        <w:spacing w:after="0" w:line="560" w:lineRule="exact"/>
        <w:ind w:firstLine="560" w:firstLineChars="200"/>
        <w:rPr>
          <w:rFonts w:ascii="Times New Roman" w:hAnsi="Times New Roman" w:eastAsia="黑体" w:cs="Times New Roman"/>
          <w:bCs/>
          <w:sz w:val="28"/>
          <w:szCs w:val="28"/>
        </w:rPr>
      </w:pPr>
      <w:r>
        <w:rPr>
          <w:rFonts w:ascii="Times New Roman" w:hAnsi="Times New Roman" w:eastAsia="黑体" w:cs="Times New Roman"/>
          <w:bCs/>
          <w:sz w:val="28"/>
          <w:szCs w:val="28"/>
        </w:rPr>
        <w:t>附件1</w:t>
      </w:r>
    </w:p>
    <w:p w14:paraId="6B5D4A53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r>
        <w:rPr>
          <w:rFonts w:ascii="Times New Roman" w:hAnsi="Times New Roman" w:eastAsia="方正小标宋_GBK" w:cs="Times New Roman"/>
          <w:b w:val="0"/>
          <w:bCs w:val="0"/>
        </w:rPr>
        <w:t>青岛财通融资租赁有限公司</w:t>
      </w:r>
    </w:p>
    <w:p w14:paraId="74F94F6E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r>
        <w:rPr>
          <w:rFonts w:ascii="Times New Roman" w:hAnsi="Times New Roman" w:eastAsia="方正小标宋_GBK" w:cs="Times New Roman"/>
          <w:b w:val="0"/>
          <w:bCs w:val="0"/>
        </w:rPr>
        <w:t>数据查询软件项目需求</w:t>
      </w:r>
    </w:p>
    <w:p w14:paraId="1B6923C7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1.数据查询模块</w:t>
      </w:r>
    </w:p>
    <w:p w14:paraId="2B8E43A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数据查询模块可以更加高效的查询金融市场数据，方便员工及时获取相关行业和企业的信息，更高效的开展公司业务，提升工作效率。</w:t>
      </w:r>
    </w:p>
    <w:p w14:paraId="0BC6975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2.城投地图模块</w:t>
      </w:r>
    </w:p>
    <w:p w14:paraId="5CA8C27D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可以一屏尽览发债主体和地域两个维度的城投研究工具，利用地图定位地区，联动城投公司、城投债与地域信息，多角度的获取债市市场数据。 </w:t>
      </w:r>
    </w:p>
    <w:p w14:paraId="513A261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3.债券模块</w:t>
      </w:r>
    </w:p>
    <w:p w14:paraId="3ED4947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该模块可以从市场的资讯，央行动态，资金市场，债市一二级，国内全球市场，区域城投债研究，单一发债企业的查询等，多维度整体的查看城投债的研究。</w:t>
      </w:r>
    </w:p>
    <w:p w14:paraId="7C50EEC6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4.行业研究分析模块</w:t>
      </w:r>
    </w:p>
    <w:p w14:paraId="47E515B2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软件需要能够查看具体行业的经济数据，宏观数据和行业报告，国内外的宏观行业政策信息，新闻信息，可以查看整个行业的上下游情况，全方位把握行业的产业链数据。</w:t>
      </w:r>
    </w:p>
    <w:p w14:paraId="3A7E1991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5.其他数据要求</w:t>
      </w:r>
    </w:p>
    <w:p w14:paraId="12A7A99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查看经纪商行情时可以批量查看担保人担保券的实时行情，科技创新公司债（科创债）有单独的概念板块。可以支持窗口查看最优、报价、排名以及利差，可以同时监控多个债券/板块实时行情，并且可以进行窗口联动和复制。</w:t>
      </w:r>
    </w:p>
    <w:p w14:paraId="4521DE7F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债券市场需要包含多元行情（经纪商行情，CFETS行情，交易所行情）。提供城投债成交统计界面，包含城投债（按评级）、城投债（按地域）、地方债成交统计界面。提供我的自选债个性化选债模块成交统计界面。</w:t>
      </w:r>
    </w:p>
    <w:p w14:paraId="3F61836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外汇模块提供外汇日历，外汇计算器包括利率平价计算器。</w:t>
      </w:r>
    </w:p>
    <w:p w14:paraId="1AFAFB62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债市一级市场包括债市日历，新债上市首日偏离需标注每个主承具体包销份额。债券承销排行榜需要是业内公认的排行榜，需要根据真实独家的承销协议进行的汇总排名。</w:t>
      </w:r>
    </w:p>
    <w:p w14:paraId="3B9AE8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MjI4ZmViMjY5ZWU5ZmRjNzA4OTczNWJjZDM2OGYifQ=="/>
  </w:docVars>
  <w:rsids>
    <w:rsidRoot w:val="00000000"/>
    <w:rsid w:val="6094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2024-08-16T07:16:15Z</dcterms:created>
  <dc:creator>5777h</dc:creator>
  <cp:lastModifiedBy>林子</cp:lastModifiedBy>
  <dcterms:modified xsi:type="dcterms:W3CDTF">2024-08-16T07:16:25Z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0860B3CC2F23455482EDB19F99661E49_12</vt:lpwstr>
  </property>
</Properties>
</file>